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Sometimes You Behave like a WAVE, Sometimes You Don’t! - An Exploration of EM Radiation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Author: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Charlie 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ilson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 Created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8/11/16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Subject: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Grade Level: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0th-12th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Standards: Next Generation Sc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ience Standards (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www.nextgenscience.org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HS-PS4-3.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Evaluate the claims, evidence, and reasoning behind the idea that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electromagnetic radiation can be described either by a wave model or a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particle model, and that for some situations one model is more useful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than the other.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Schedule: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1-80 minute lab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CCMR Lending Library Connected Activities: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Objectives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 the duality of EM radiation with simple intelligence. (non-scientist would understand)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 an interest in further studies of Quantum Mechanics including matter waves.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Consider research as a component of their future education and careers.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Quantum Mechanics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Electromagnetic Spectrum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Constructive Interference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Destructive Interference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Diffraction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Photon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DeBroglie Wavelength (Matter Waves)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Heisenberg Uncertainty Principle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Student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Will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Create an optical interference pattern on glass slides and explore the dual nature of the electromagnetic spectrum.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 results as a team with the rest of the class.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an Exit Survey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Materials: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Glass slide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Candle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Matches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Laser pointer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Laser pointer mount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Digital vernier calipers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pin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cautious with the candle and the glass.  Assume glass is HOT because it looks the same hot or cold!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Resources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"Golf Ball hitting steel super slo mo - YouTube." 2009. 17 Aug. 2016 &lt;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https://www.youtube.com/watch?v=aMqM13EUSKw</w:t>
        </w:r>
      </w:hyperlink>
      <w:r w:rsidDel="00000000" w:rsidR="00000000" w:rsidRPr="00000000">
        <w:rPr>
          <w:sz w:val="20"/>
          <w:szCs w:val="20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"Richard Feynman - The Character of Physical Law - Part 6 - YouTube." 2011. 17 Aug. 2016 &lt;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https://www.youtube.com/watch?v=aAgcqgDc-YM</w:t>
        </w:r>
      </w:hyperlink>
      <w:r w:rsidDel="00000000" w:rsidR="00000000" w:rsidRPr="00000000">
        <w:rPr>
          <w:sz w:val="20"/>
          <w:szCs w:val="20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Classroom Procedure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Setup lab stations for 3-4 students each with the materials listed.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  Present the lesson objectives to the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 View and discuss the two resource videos with student teams.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 Students complete the Lab Activity Sheet completely, safely, and thoughtfully.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 Student teams present and explain results with the entire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6. Students complete an Exit Survey.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Assessment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rtl w:val="0"/>
        </w:rPr>
        <w:t xml:space="preserve">Lab Report from Individual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Survey will be completed as an exit ticket.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Explain the duality of EM radiation.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 On a scale of 1 to 10, how interested are you in further studies of Quantum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   Mechanics?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 On a scale of 1 to 10, how likely are you to consider research as a component of your future education and careers?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Acknowledgements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rtl w:val="0"/>
        </w:rPr>
        <w:t xml:space="preserve">I would like to gratefully acknowledge the National Science Foundation, Cornell University, and the Cornell Center for Materials Research for sharing resources, personnel, and inspiration.  A special personal thanks to Nev Singhota and Mark Walsh for their support and high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Arial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-32384</wp:posOffset>
          </wp:positionV>
          <wp:extent cx="5943600" cy="443865"/>
          <wp:effectExtent b="0" l="0" r="0" t="0"/>
          <wp:wrapSquare wrapText="bothSides" distB="0" distT="0" distL="114300" distR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3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- </w:t>
    </w:r>
    <w:fldSimple w:instr="PAGE" w:fldLock="0" w:dirty="0">
      <w:r w:rsidDel="00000000" w:rsidR="00000000" w:rsidRPr="00000000">
        <w:rPr>
          <w:rFonts w:ascii="Rambla" w:cs="Rambla" w:eastAsia="Rambla" w:hAnsi="Rambla"/>
          <w:i w:val="1"/>
          <w:color w:val="ffffff"/>
          <w:sz w:val="20"/>
          <w:szCs w:val="20"/>
          <w:vertAlign w:val="baseline"/>
        </w:rPr>
      </w:r>
    </w:fldSimple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120" w:line="240" w:lineRule="auto"/>
      <w:ind w:left="0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0</wp:posOffset>
          </wp:positionV>
          <wp:extent cx="5943600" cy="381000"/>
          <wp:effectExtent b="0" l="0" r="0" t="0"/>
          <wp:wrapSquare wrapText="bothSides" distB="0" distT="0" distL="114300" distR="11430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www.nextgenscience.org" TargetMode="External"/><Relationship Id="rId6" Type="http://schemas.openxmlformats.org/officeDocument/2006/relationships/hyperlink" Target="https://www.youtube.com/watch?v=aMqM13EUSKw" TargetMode="External"/><Relationship Id="rId7" Type="http://schemas.openxmlformats.org/officeDocument/2006/relationships/hyperlink" Target="https://www.youtube.com/watch?v=aAgcqgDc-Y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